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82CA"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b/>
          <w:color w:val="auto"/>
          <w:lang w:val="en-US" w:eastAsia="en-US"/>
        </w:rPr>
      </w:pPr>
      <w:r w:rsidRPr="00945EEC">
        <w:rPr>
          <w:rFonts w:eastAsia="MS Mincho"/>
          <w:b/>
          <w:color w:val="auto"/>
          <w:lang w:val="en-US" w:eastAsia="en-US"/>
        </w:rPr>
        <w:t>Gender Pay Gap Reporting</w:t>
      </w:r>
    </w:p>
    <w:p w14:paraId="239B6CDB"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1CABCF93"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Under legislation that came into force in April 2017, UK employers with more than 250 employees are required to publish their gender pay gap.</w:t>
      </w:r>
    </w:p>
    <w:p w14:paraId="0646EEDB"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6A4600BA" w14:textId="04D8B99B"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In this report, we are sharing the median (midpoint) and mean (average) pay gaps between men and women’s hourly ordinary pay and bonuses using the snapshot date of 5</w:t>
      </w:r>
      <w:r w:rsidRPr="00945EEC">
        <w:rPr>
          <w:rFonts w:eastAsia="MS Mincho"/>
          <w:color w:val="auto"/>
          <w:vertAlign w:val="superscript"/>
          <w:lang w:val="en-US" w:eastAsia="en-US"/>
        </w:rPr>
        <w:t>th</w:t>
      </w:r>
      <w:r w:rsidRPr="00945EEC">
        <w:rPr>
          <w:rFonts w:eastAsia="MS Mincho"/>
          <w:color w:val="auto"/>
          <w:lang w:val="en-US" w:eastAsia="en-US"/>
        </w:rPr>
        <w:t xml:space="preserve"> April 202</w:t>
      </w:r>
      <w:r w:rsidR="0049232D">
        <w:rPr>
          <w:rFonts w:eastAsia="MS Mincho"/>
          <w:color w:val="auto"/>
          <w:lang w:val="en-US" w:eastAsia="en-US"/>
        </w:rPr>
        <w:t>5</w:t>
      </w:r>
      <w:r w:rsidRPr="00945EEC">
        <w:rPr>
          <w:rFonts w:eastAsia="MS Mincho"/>
          <w:color w:val="auto"/>
          <w:lang w:val="en-US" w:eastAsia="en-US"/>
        </w:rPr>
        <w:t xml:space="preserve">. Under the legislation, we </w:t>
      </w:r>
      <w:proofErr w:type="gramStart"/>
      <w:r w:rsidRPr="00945EEC">
        <w:rPr>
          <w:rFonts w:eastAsia="MS Mincho"/>
          <w:color w:val="auto"/>
          <w:lang w:val="en-US" w:eastAsia="en-US"/>
        </w:rPr>
        <w:t>have to</w:t>
      </w:r>
      <w:proofErr w:type="gramEnd"/>
      <w:r w:rsidRPr="00945EEC">
        <w:rPr>
          <w:rFonts w:eastAsia="MS Mincho"/>
          <w:color w:val="auto"/>
          <w:lang w:val="en-US" w:eastAsia="en-US"/>
        </w:rPr>
        <w:t xml:space="preserve"> report different pieces of information relating to the pay of the </w:t>
      </w:r>
      <w:proofErr w:type="gramStart"/>
      <w:r w:rsidRPr="00945EEC">
        <w:rPr>
          <w:rFonts w:eastAsia="MS Mincho"/>
          <w:color w:val="auto"/>
          <w:lang w:val="en-US" w:eastAsia="en-US"/>
        </w:rPr>
        <w:t>included workforce population</w:t>
      </w:r>
      <w:proofErr w:type="gramEnd"/>
      <w:r w:rsidRPr="00945EEC">
        <w:rPr>
          <w:rFonts w:eastAsia="MS Mincho"/>
          <w:color w:val="auto"/>
          <w:lang w:val="en-US" w:eastAsia="en-US"/>
        </w:rPr>
        <w:t xml:space="preserve"> and these are:</w:t>
      </w:r>
    </w:p>
    <w:p w14:paraId="1A96D01D"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26BABBA2"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u w:val="single"/>
          <w:lang w:val="en-US" w:eastAsia="en-US"/>
        </w:rPr>
      </w:pPr>
      <w:r w:rsidRPr="00945EEC">
        <w:rPr>
          <w:rFonts w:eastAsia="MS Mincho"/>
          <w:color w:val="auto"/>
          <w:u w:val="single"/>
          <w:lang w:val="en-US" w:eastAsia="en-US"/>
        </w:rPr>
        <w:t xml:space="preserve">Pay gap, mean and </w:t>
      </w:r>
      <w:proofErr w:type="gramStart"/>
      <w:r w:rsidRPr="00945EEC">
        <w:rPr>
          <w:rFonts w:eastAsia="MS Mincho"/>
          <w:color w:val="auto"/>
          <w:u w:val="single"/>
          <w:lang w:val="en-US" w:eastAsia="en-US"/>
        </w:rPr>
        <w:t>median</w:t>
      </w:r>
      <w:proofErr w:type="gramEnd"/>
    </w:p>
    <w:p w14:paraId="64BCFA2F"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This is the difference in hourly pay of male and female included employees per 5th April snapshot date and this is expressed as a percentage of the hourly pay of male included employees. This means that a positive number indicates men earn more than women; a negative number will mean the reverse. Pay is reported as both ordinary pay and bonus pay.</w:t>
      </w:r>
    </w:p>
    <w:p w14:paraId="40D6D017"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945EEC" w:rsidRPr="00945EEC" w14:paraId="684CE24C" w14:textId="77777777" w:rsidTr="003509FB">
        <w:tc>
          <w:tcPr>
            <w:tcW w:w="4145" w:type="dxa"/>
          </w:tcPr>
          <w:p w14:paraId="0BF9D53B"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r w:rsidRPr="00945EEC">
              <w:rPr>
                <w:rFonts w:eastAsia="MS Mincho"/>
                <w:color w:val="auto"/>
              </w:rPr>
              <w:t>Mean gender pay gap using hourly pay</w:t>
            </w:r>
          </w:p>
        </w:tc>
        <w:tc>
          <w:tcPr>
            <w:tcW w:w="4145" w:type="dxa"/>
          </w:tcPr>
          <w:p w14:paraId="0A75E7DE" w14:textId="46A1E6D0" w:rsidR="00945EEC" w:rsidRPr="00945EEC" w:rsidRDefault="008B259F" w:rsidP="00945EEC">
            <w:pPr>
              <w:widowControl w:val="0"/>
              <w:tabs>
                <w:tab w:val="left" w:pos="1528"/>
              </w:tabs>
              <w:autoSpaceDE w:val="0"/>
              <w:autoSpaceDN w:val="0"/>
              <w:adjustRightInd w:val="0"/>
              <w:jc w:val="right"/>
              <w:rPr>
                <w:rFonts w:eastAsia="MS Mincho"/>
                <w:b/>
                <w:bCs/>
                <w:color w:val="FF0000"/>
              </w:rPr>
            </w:pPr>
            <w:r>
              <w:rPr>
                <w:rFonts w:eastAsia="MS Mincho"/>
                <w:b/>
                <w:bCs/>
                <w:color w:val="auto"/>
              </w:rPr>
              <w:t>1</w:t>
            </w:r>
            <w:r w:rsidR="009B176F">
              <w:rPr>
                <w:rFonts w:eastAsia="MS Mincho"/>
                <w:b/>
                <w:bCs/>
                <w:color w:val="auto"/>
              </w:rPr>
              <w:t>7</w:t>
            </w:r>
            <w:r w:rsidR="00945EEC" w:rsidRPr="00945EEC">
              <w:rPr>
                <w:rFonts w:eastAsia="MS Mincho"/>
                <w:b/>
                <w:bCs/>
                <w:color w:val="auto"/>
              </w:rPr>
              <w:t>%</w:t>
            </w:r>
          </w:p>
        </w:tc>
      </w:tr>
      <w:tr w:rsidR="00945EEC" w:rsidRPr="00945EEC" w14:paraId="00373900" w14:textId="77777777" w:rsidTr="003509FB">
        <w:tc>
          <w:tcPr>
            <w:tcW w:w="4145" w:type="dxa"/>
          </w:tcPr>
          <w:p w14:paraId="689275B8"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r w:rsidRPr="00945EEC">
              <w:rPr>
                <w:rFonts w:eastAsia="MS Mincho"/>
                <w:color w:val="auto"/>
              </w:rPr>
              <w:t>Median gender pay gap using hourly pay</w:t>
            </w:r>
          </w:p>
        </w:tc>
        <w:tc>
          <w:tcPr>
            <w:tcW w:w="4145" w:type="dxa"/>
          </w:tcPr>
          <w:p w14:paraId="55BAF433" w14:textId="12FD6651" w:rsidR="00945EEC" w:rsidRPr="00945EEC" w:rsidRDefault="009B176F" w:rsidP="00945EEC">
            <w:pPr>
              <w:widowControl w:val="0"/>
              <w:tabs>
                <w:tab w:val="left" w:pos="1528"/>
              </w:tabs>
              <w:autoSpaceDE w:val="0"/>
              <w:autoSpaceDN w:val="0"/>
              <w:adjustRightInd w:val="0"/>
              <w:jc w:val="right"/>
              <w:rPr>
                <w:rFonts w:eastAsia="MS Mincho"/>
                <w:b/>
                <w:bCs/>
                <w:color w:val="FF0000"/>
              </w:rPr>
            </w:pPr>
            <w:r>
              <w:rPr>
                <w:rFonts w:eastAsia="MS Mincho"/>
                <w:b/>
                <w:bCs/>
                <w:color w:val="auto"/>
              </w:rPr>
              <w:t>9</w:t>
            </w:r>
            <w:r w:rsidR="00945EEC" w:rsidRPr="00945EEC">
              <w:rPr>
                <w:rFonts w:eastAsia="MS Mincho"/>
                <w:b/>
                <w:bCs/>
                <w:color w:val="auto"/>
              </w:rPr>
              <w:t>%</w:t>
            </w:r>
          </w:p>
        </w:tc>
      </w:tr>
    </w:tbl>
    <w:p w14:paraId="61925AC3"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46B0D9A9"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099B0310"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u w:val="single"/>
          <w:lang w:val="en-US" w:eastAsia="en-US"/>
        </w:rPr>
      </w:pPr>
      <w:r w:rsidRPr="00945EEC">
        <w:rPr>
          <w:rFonts w:eastAsia="MS Mincho"/>
          <w:color w:val="auto"/>
          <w:u w:val="single"/>
          <w:lang w:val="en-US" w:eastAsia="en-US"/>
        </w:rPr>
        <w:t>Bonus pay gap, mean and median</w:t>
      </w:r>
    </w:p>
    <w:p w14:paraId="1AD1280C"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This refers to the bonus commission pay paid to male and female relevant employees during the 12 months prior to the snapshot date, expressed as a percentage of the bonus commission pay paid to male relevant employees.</w:t>
      </w:r>
    </w:p>
    <w:p w14:paraId="64FA26C7"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945EEC" w:rsidRPr="00945EEC" w14:paraId="74ADF6AB" w14:textId="77777777" w:rsidTr="003509FB">
        <w:tc>
          <w:tcPr>
            <w:tcW w:w="4145" w:type="dxa"/>
          </w:tcPr>
          <w:p w14:paraId="6BAE9900"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r w:rsidRPr="00945EEC">
              <w:rPr>
                <w:rFonts w:eastAsia="MS Mincho"/>
                <w:color w:val="auto"/>
              </w:rPr>
              <w:t>Mean gender pay gap using bonus pay</w:t>
            </w:r>
          </w:p>
        </w:tc>
        <w:tc>
          <w:tcPr>
            <w:tcW w:w="4145" w:type="dxa"/>
          </w:tcPr>
          <w:p w14:paraId="243086BE" w14:textId="7794F3E1" w:rsidR="00945EEC" w:rsidRPr="00945EEC" w:rsidRDefault="00E85B19" w:rsidP="00945EEC">
            <w:pPr>
              <w:widowControl w:val="0"/>
              <w:tabs>
                <w:tab w:val="left" w:pos="1528"/>
              </w:tabs>
              <w:autoSpaceDE w:val="0"/>
              <w:autoSpaceDN w:val="0"/>
              <w:adjustRightInd w:val="0"/>
              <w:jc w:val="right"/>
              <w:rPr>
                <w:rFonts w:eastAsia="MS Mincho"/>
                <w:b/>
                <w:bCs/>
                <w:color w:val="FF0000"/>
              </w:rPr>
            </w:pPr>
            <w:r>
              <w:rPr>
                <w:rFonts w:eastAsia="MS Mincho"/>
                <w:b/>
                <w:bCs/>
                <w:color w:val="auto"/>
              </w:rPr>
              <w:t>26</w:t>
            </w:r>
            <w:r w:rsidR="00945EEC" w:rsidRPr="00945EEC">
              <w:rPr>
                <w:rFonts w:eastAsia="MS Mincho"/>
                <w:b/>
                <w:bCs/>
                <w:color w:val="auto"/>
              </w:rPr>
              <w:t>%</w:t>
            </w:r>
          </w:p>
        </w:tc>
      </w:tr>
      <w:tr w:rsidR="00945EEC" w:rsidRPr="00945EEC" w14:paraId="5FE20C14" w14:textId="77777777" w:rsidTr="003509FB">
        <w:tc>
          <w:tcPr>
            <w:tcW w:w="4145" w:type="dxa"/>
          </w:tcPr>
          <w:p w14:paraId="50DD018B"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r w:rsidRPr="00945EEC">
              <w:rPr>
                <w:rFonts w:eastAsia="MS Mincho"/>
                <w:color w:val="auto"/>
              </w:rPr>
              <w:t>Median gender pay gap using bonus pay</w:t>
            </w:r>
          </w:p>
        </w:tc>
        <w:tc>
          <w:tcPr>
            <w:tcW w:w="4145" w:type="dxa"/>
          </w:tcPr>
          <w:p w14:paraId="4991226A" w14:textId="713B6D10" w:rsidR="00945EEC" w:rsidRPr="00945EEC" w:rsidRDefault="00E85B19" w:rsidP="00945EEC">
            <w:pPr>
              <w:widowControl w:val="0"/>
              <w:tabs>
                <w:tab w:val="left" w:pos="1528"/>
              </w:tabs>
              <w:autoSpaceDE w:val="0"/>
              <w:autoSpaceDN w:val="0"/>
              <w:adjustRightInd w:val="0"/>
              <w:jc w:val="right"/>
              <w:rPr>
                <w:rFonts w:eastAsia="MS Mincho"/>
                <w:b/>
                <w:bCs/>
                <w:color w:val="FF0000"/>
              </w:rPr>
            </w:pPr>
            <w:r>
              <w:rPr>
                <w:rFonts w:eastAsia="MS Mincho"/>
                <w:b/>
                <w:bCs/>
                <w:color w:val="auto"/>
              </w:rPr>
              <w:t>18</w:t>
            </w:r>
            <w:r w:rsidR="00945EEC" w:rsidRPr="00945EEC">
              <w:rPr>
                <w:rFonts w:eastAsia="MS Mincho"/>
                <w:b/>
                <w:bCs/>
                <w:color w:val="auto"/>
              </w:rPr>
              <w:t>%</w:t>
            </w:r>
          </w:p>
        </w:tc>
      </w:tr>
    </w:tbl>
    <w:p w14:paraId="7DF657B8"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6E9022BB"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2A914790"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u w:val="single"/>
          <w:lang w:val="en-US" w:eastAsia="en-US"/>
        </w:rPr>
      </w:pPr>
      <w:r w:rsidRPr="00945EEC">
        <w:rPr>
          <w:rFonts w:eastAsia="MS Mincho"/>
          <w:color w:val="auto"/>
          <w:u w:val="single"/>
          <w:lang w:val="en-US" w:eastAsia="en-US"/>
        </w:rPr>
        <w:t>Bonus pay proportion</w:t>
      </w:r>
    </w:p>
    <w:p w14:paraId="22731AE2"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Bonus pay proportion refers to male relevant employees who received a bonus commission in the 12 months, expressed as a percentage of the male relevant employees; female relevant employees who received a bonus commission in the 12 months, expressed as a percentage of the female relevant employees.</w:t>
      </w:r>
    </w:p>
    <w:p w14:paraId="34DB1317"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134"/>
        <w:gridCol w:w="1065"/>
      </w:tblGrid>
      <w:tr w:rsidR="00945EEC" w:rsidRPr="00945EEC" w14:paraId="5E20EBE8" w14:textId="77777777" w:rsidTr="003509FB">
        <w:tc>
          <w:tcPr>
            <w:tcW w:w="6091" w:type="dxa"/>
          </w:tcPr>
          <w:p w14:paraId="53781BAB"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p>
        </w:tc>
        <w:tc>
          <w:tcPr>
            <w:tcW w:w="1134" w:type="dxa"/>
          </w:tcPr>
          <w:p w14:paraId="41CA3F72" w14:textId="77777777" w:rsidR="00945EEC" w:rsidRPr="00945EEC" w:rsidRDefault="00945EEC" w:rsidP="00945EEC">
            <w:pPr>
              <w:widowControl w:val="0"/>
              <w:tabs>
                <w:tab w:val="left" w:pos="1528"/>
              </w:tabs>
              <w:autoSpaceDE w:val="0"/>
              <w:autoSpaceDN w:val="0"/>
              <w:adjustRightInd w:val="0"/>
              <w:jc w:val="center"/>
              <w:rPr>
                <w:rFonts w:eastAsia="MS Mincho"/>
                <w:color w:val="auto"/>
              </w:rPr>
            </w:pPr>
            <w:r w:rsidRPr="00945EEC">
              <w:rPr>
                <w:rFonts w:eastAsia="MS Mincho"/>
                <w:color w:val="auto"/>
              </w:rPr>
              <w:t>Men</w:t>
            </w:r>
          </w:p>
        </w:tc>
        <w:tc>
          <w:tcPr>
            <w:tcW w:w="1065" w:type="dxa"/>
          </w:tcPr>
          <w:p w14:paraId="06F0C778" w14:textId="77777777" w:rsidR="00945EEC" w:rsidRPr="00945EEC" w:rsidRDefault="00945EEC" w:rsidP="00945EEC">
            <w:pPr>
              <w:widowControl w:val="0"/>
              <w:tabs>
                <w:tab w:val="left" w:pos="1528"/>
              </w:tabs>
              <w:autoSpaceDE w:val="0"/>
              <w:autoSpaceDN w:val="0"/>
              <w:adjustRightInd w:val="0"/>
              <w:jc w:val="center"/>
              <w:rPr>
                <w:rFonts w:eastAsia="MS Mincho"/>
                <w:color w:val="auto"/>
              </w:rPr>
            </w:pPr>
            <w:r w:rsidRPr="00945EEC">
              <w:rPr>
                <w:rFonts w:eastAsia="MS Mincho"/>
                <w:color w:val="auto"/>
              </w:rPr>
              <w:t>Women</w:t>
            </w:r>
          </w:p>
        </w:tc>
      </w:tr>
      <w:tr w:rsidR="00945EEC" w:rsidRPr="00945EEC" w14:paraId="545EB4A7" w14:textId="77777777" w:rsidTr="003509FB">
        <w:tc>
          <w:tcPr>
            <w:tcW w:w="6091" w:type="dxa"/>
          </w:tcPr>
          <w:p w14:paraId="30070EA8"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r w:rsidRPr="00945EEC">
              <w:rPr>
                <w:rFonts w:eastAsia="MS Mincho"/>
                <w:color w:val="auto"/>
              </w:rPr>
              <w:t>Percentage of men and women who received bonus pay</w:t>
            </w:r>
          </w:p>
        </w:tc>
        <w:tc>
          <w:tcPr>
            <w:tcW w:w="1134" w:type="dxa"/>
          </w:tcPr>
          <w:p w14:paraId="19CA01AD" w14:textId="09AC1EBE" w:rsidR="00945EEC" w:rsidRPr="00945EEC" w:rsidRDefault="003A3E39"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6</w:t>
            </w:r>
            <w:r w:rsidR="00BD12A7">
              <w:rPr>
                <w:rFonts w:eastAsia="MS Mincho"/>
                <w:b/>
                <w:bCs/>
                <w:color w:val="auto"/>
              </w:rPr>
              <w:t>0</w:t>
            </w:r>
            <w:r w:rsidR="00945EEC" w:rsidRPr="00945EEC">
              <w:rPr>
                <w:rFonts w:eastAsia="MS Mincho"/>
                <w:b/>
                <w:bCs/>
                <w:color w:val="auto"/>
              </w:rPr>
              <w:t>%</w:t>
            </w:r>
          </w:p>
        </w:tc>
        <w:tc>
          <w:tcPr>
            <w:tcW w:w="1065" w:type="dxa"/>
          </w:tcPr>
          <w:p w14:paraId="75AEF7A0" w14:textId="4FB4F330" w:rsidR="00945EEC" w:rsidRPr="00945EEC" w:rsidRDefault="003A3E39"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7</w:t>
            </w:r>
            <w:r w:rsidR="00E85B19">
              <w:rPr>
                <w:rFonts w:eastAsia="MS Mincho"/>
                <w:b/>
                <w:bCs/>
                <w:color w:val="auto"/>
              </w:rPr>
              <w:t>1</w:t>
            </w:r>
            <w:r w:rsidR="00945EEC" w:rsidRPr="00945EEC">
              <w:rPr>
                <w:rFonts w:eastAsia="MS Mincho"/>
                <w:b/>
                <w:bCs/>
                <w:color w:val="auto"/>
              </w:rPr>
              <w:t>%</w:t>
            </w:r>
          </w:p>
        </w:tc>
      </w:tr>
    </w:tbl>
    <w:p w14:paraId="50454A80"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0D47F68E"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1CCA6833"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u w:val="single"/>
          <w:lang w:val="en-US" w:eastAsia="en-US"/>
        </w:rPr>
      </w:pPr>
      <w:r w:rsidRPr="00945EEC">
        <w:rPr>
          <w:rFonts w:eastAsia="MS Mincho"/>
          <w:color w:val="auto"/>
          <w:u w:val="single"/>
          <w:lang w:val="en-US" w:eastAsia="en-US"/>
        </w:rPr>
        <w:t>Quartiles</w:t>
      </w:r>
    </w:p>
    <w:p w14:paraId="1C0C325D"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roofErr w:type="spellStart"/>
      <w:r w:rsidRPr="00945EEC">
        <w:rPr>
          <w:rFonts w:eastAsia="MS Mincho"/>
          <w:color w:val="auto"/>
          <w:lang w:val="en-US" w:eastAsia="en-US"/>
        </w:rPr>
        <w:t>Organise</w:t>
      </w:r>
      <w:proofErr w:type="spellEnd"/>
      <w:r w:rsidRPr="00945EEC">
        <w:rPr>
          <w:rFonts w:eastAsia="MS Mincho"/>
          <w:color w:val="auto"/>
          <w:lang w:val="en-US" w:eastAsia="en-US"/>
        </w:rPr>
        <w:t xml:space="preserve"> workforce into evenly sized quartiles based on ranking of all included employees from highest to lowest by hourly rate of pay. Report on each quartile the number of full-pay male and females in each quartile as a percentage of the total in the quartile.</w:t>
      </w:r>
    </w:p>
    <w:p w14:paraId="1AF4D85A"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658"/>
        <w:gridCol w:w="1658"/>
        <w:gridCol w:w="1658"/>
        <w:gridCol w:w="1658"/>
      </w:tblGrid>
      <w:tr w:rsidR="00945EEC" w:rsidRPr="00945EEC" w14:paraId="644F9AA5" w14:textId="77777777" w:rsidTr="003509FB">
        <w:tc>
          <w:tcPr>
            <w:tcW w:w="1658" w:type="dxa"/>
          </w:tcPr>
          <w:p w14:paraId="3E1CC1DF"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p>
        </w:tc>
        <w:tc>
          <w:tcPr>
            <w:tcW w:w="1658" w:type="dxa"/>
          </w:tcPr>
          <w:p w14:paraId="7046654B" w14:textId="77777777" w:rsidR="00945EEC" w:rsidRPr="00945EEC" w:rsidRDefault="00945EEC" w:rsidP="00945EEC">
            <w:pPr>
              <w:widowControl w:val="0"/>
              <w:tabs>
                <w:tab w:val="left" w:pos="1528"/>
              </w:tabs>
              <w:autoSpaceDE w:val="0"/>
              <w:autoSpaceDN w:val="0"/>
              <w:adjustRightInd w:val="0"/>
              <w:jc w:val="center"/>
              <w:rPr>
                <w:rFonts w:eastAsia="MS Mincho"/>
                <w:color w:val="auto"/>
              </w:rPr>
            </w:pPr>
            <w:r w:rsidRPr="00945EEC">
              <w:rPr>
                <w:rFonts w:eastAsia="MS Mincho"/>
                <w:color w:val="auto"/>
              </w:rPr>
              <w:t>Lower Quartile</w:t>
            </w:r>
          </w:p>
        </w:tc>
        <w:tc>
          <w:tcPr>
            <w:tcW w:w="1658" w:type="dxa"/>
          </w:tcPr>
          <w:p w14:paraId="57A8F3EB" w14:textId="77777777" w:rsidR="00945EEC" w:rsidRPr="00945EEC" w:rsidRDefault="00945EEC" w:rsidP="00945EEC">
            <w:pPr>
              <w:widowControl w:val="0"/>
              <w:tabs>
                <w:tab w:val="left" w:pos="1528"/>
              </w:tabs>
              <w:autoSpaceDE w:val="0"/>
              <w:autoSpaceDN w:val="0"/>
              <w:adjustRightInd w:val="0"/>
              <w:jc w:val="center"/>
              <w:rPr>
                <w:rFonts w:eastAsia="MS Mincho"/>
                <w:color w:val="auto"/>
              </w:rPr>
            </w:pPr>
            <w:r w:rsidRPr="00945EEC">
              <w:rPr>
                <w:rFonts w:eastAsia="MS Mincho"/>
                <w:color w:val="auto"/>
              </w:rPr>
              <w:t>Lower Middle</w:t>
            </w:r>
          </w:p>
        </w:tc>
        <w:tc>
          <w:tcPr>
            <w:tcW w:w="1658" w:type="dxa"/>
          </w:tcPr>
          <w:p w14:paraId="07A25A03" w14:textId="77777777" w:rsidR="00945EEC" w:rsidRPr="00945EEC" w:rsidRDefault="00945EEC" w:rsidP="00945EEC">
            <w:pPr>
              <w:widowControl w:val="0"/>
              <w:tabs>
                <w:tab w:val="left" w:pos="1528"/>
              </w:tabs>
              <w:autoSpaceDE w:val="0"/>
              <w:autoSpaceDN w:val="0"/>
              <w:adjustRightInd w:val="0"/>
              <w:jc w:val="center"/>
              <w:rPr>
                <w:rFonts w:eastAsia="MS Mincho"/>
                <w:color w:val="auto"/>
              </w:rPr>
            </w:pPr>
            <w:r w:rsidRPr="00945EEC">
              <w:rPr>
                <w:rFonts w:eastAsia="MS Mincho"/>
                <w:color w:val="auto"/>
              </w:rPr>
              <w:t>Upper Middle</w:t>
            </w:r>
          </w:p>
        </w:tc>
        <w:tc>
          <w:tcPr>
            <w:tcW w:w="1658" w:type="dxa"/>
          </w:tcPr>
          <w:p w14:paraId="7A63DE2F" w14:textId="77777777" w:rsidR="00945EEC" w:rsidRPr="00945EEC" w:rsidRDefault="00945EEC" w:rsidP="00945EEC">
            <w:pPr>
              <w:widowControl w:val="0"/>
              <w:tabs>
                <w:tab w:val="left" w:pos="1528"/>
              </w:tabs>
              <w:autoSpaceDE w:val="0"/>
              <w:autoSpaceDN w:val="0"/>
              <w:adjustRightInd w:val="0"/>
              <w:jc w:val="center"/>
              <w:rPr>
                <w:rFonts w:eastAsia="MS Mincho"/>
                <w:color w:val="auto"/>
              </w:rPr>
            </w:pPr>
            <w:r w:rsidRPr="00945EEC">
              <w:rPr>
                <w:rFonts w:eastAsia="MS Mincho"/>
                <w:color w:val="auto"/>
              </w:rPr>
              <w:t>Upper Quartile</w:t>
            </w:r>
          </w:p>
        </w:tc>
      </w:tr>
      <w:tr w:rsidR="00945EEC" w:rsidRPr="00945EEC" w14:paraId="69BA0654" w14:textId="77777777" w:rsidTr="003509FB">
        <w:tc>
          <w:tcPr>
            <w:tcW w:w="1658" w:type="dxa"/>
          </w:tcPr>
          <w:p w14:paraId="5CECA998"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r w:rsidRPr="00945EEC">
              <w:rPr>
                <w:rFonts w:eastAsia="MS Mincho"/>
                <w:color w:val="auto"/>
              </w:rPr>
              <w:t>Male</w:t>
            </w:r>
          </w:p>
        </w:tc>
        <w:tc>
          <w:tcPr>
            <w:tcW w:w="1658" w:type="dxa"/>
          </w:tcPr>
          <w:p w14:paraId="7E331D82" w14:textId="553579EB" w:rsidR="00945EEC" w:rsidRPr="00945EEC" w:rsidRDefault="00EA307C"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35</w:t>
            </w:r>
            <w:r w:rsidR="00945EEC" w:rsidRPr="00945EEC">
              <w:rPr>
                <w:rFonts w:eastAsia="MS Mincho"/>
                <w:b/>
                <w:bCs/>
                <w:color w:val="auto"/>
              </w:rPr>
              <w:t>%</w:t>
            </w:r>
          </w:p>
        </w:tc>
        <w:tc>
          <w:tcPr>
            <w:tcW w:w="1658" w:type="dxa"/>
          </w:tcPr>
          <w:p w14:paraId="09FFF6A5" w14:textId="47FD24CC" w:rsidR="00945EEC" w:rsidRPr="00945EEC" w:rsidRDefault="00067608"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3</w:t>
            </w:r>
            <w:r w:rsidR="00EA307C">
              <w:rPr>
                <w:rFonts w:eastAsia="MS Mincho"/>
                <w:b/>
                <w:bCs/>
                <w:color w:val="auto"/>
              </w:rPr>
              <w:t>0</w:t>
            </w:r>
            <w:r w:rsidR="00945EEC" w:rsidRPr="00945EEC">
              <w:rPr>
                <w:rFonts w:eastAsia="MS Mincho"/>
                <w:b/>
                <w:bCs/>
                <w:color w:val="auto"/>
              </w:rPr>
              <w:t>%</w:t>
            </w:r>
          </w:p>
        </w:tc>
        <w:tc>
          <w:tcPr>
            <w:tcW w:w="1658" w:type="dxa"/>
          </w:tcPr>
          <w:p w14:paraId="3BA5D981" w14:textId="4F93E0E5" w:rsidR="00945EEC" w:rsidRPr="00945EEC" w:rsidRDefault="009F7EA9"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42</w:t>
            </w:r>
            <w:r w:rsidR="00945EEC" w:rsidRPr="00945EEC">
              <w:rPr>
                <w:rFonts w:eastAsia="MS Mincho"/>
                <w:b/>
                <w:bCs/>
                <w:color w:val="auto"/>
              </w:rPr>
              <w:t>%</w:t>
            </w:r>
          </w:p>
        </w:tc>
        <w:tc>
          <w:tcPr>
            <w:tcW w:w="1658" w:type="dxa"/>
          </w:tcPr>
          <w:p w14:paraId="6496013A" w14:textId="0B3E7330" w:rsidR="00945EEC" w:rsidRPr="00945EEC" w:rsidRDefault="008F51D8"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58</w:t>
            </w:r>
            <w:r w:rsidR="00945EEC" w:rsidRPr="00945EEC">
              <w:rPr>
                <w:rFonts w:eastAsia="MS Mincho"/>
                <w:b/>
                <w:bCs/>
                <w:color w:val="auto"/>
              </w:rPr>
              <w:t>%</w:t>
            </w:r>
          </w:p>
        </w:tc>
      </w:tr>
      <w:tr w:rsidR="00945EEC" w:rsidRPr="00945EEC" w14:paraId="66609C94" w14:textId="77777777" w:rsidTr="003509FB">
        <w:tc>
          <w:tcPr>
            <w:tcW w:w="1658" w:type="dxa"/>
          </w:tcPr>
          <w:p w14:paraId="2091B2D0" w14:textId="77777777" w:rsidR="00945EEC" w:rsidRPr="00945EEC" w:rsidRDefault="00945EEC" w:rsidP="00945EEC">
            <w:pPr>
              <w:widowControl w:val="0"/>
              <w:tabs>
                <w:tab w:val="left" w:pos="1528"/>
              </w:tabs>
              <w:autoSpaceDE w:val="0"/>
              <w:autoSpaceDN w:val="0"/>
              <w:adjustRightInd w:val="0"/>
              <w:jc w:val="both"/>
              <w:rPr>
                <w:rFonts w:eastAsia="MS Mincho"/>
                <w:color w:val="auto"/>
              </w:rPr>
            </w:pPr>
            <w:r w:rsidRPr="00945EEC">
              <w:rPr>
                <w:rFonts w:eastAsia="MS Mincho"/>
                <w:color w:val="auto"/>
              </w:rPr>
              <w:t>Female</w:t>
            </w:r>
          </w:p>
        </w:tc>
        <w:tc>
          <w:tcPr>
            <w:tcW w:w="1658" w:type="dxa"/>
          </w:tcPr>
          <w:p w14:paraId="1085976D" w14:textId="7B4D6C5C" w:rsidR="00945EEC" w:rsidRPr="00945EEC" w:rsidRDefault="00577821"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65</w:t>
            </w:r>
            <w:r w:rsidR="00945EEC" w:rsidRPr="00945EEC">
              <w:rPr>
                <w:rFonts w:eastAsia="MS Mincho"/>
                <w:b/>
                <w:bCs/>
                <w:color w:val="auto"/>
              </w:rPr>
              <w:t>%</w:t>
            </w:r>
          </w:p>
        </w:tc>
        <w:tc>
          <w:tcPr>
            <w:tcW w:w="1658" w:type="dxa"/>
          </w:tcPr>
          <w:p w14:paraId="700EFD79" w14:textId="50EDCE7A" w:rsidR="00945EEC" w:rsidRPr="00945EEC" w:rsidRDefault="00577821"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70</w:t>
            </w:r>
            <w:r w:rsidR="00945EEC" w:rsidRPr="00945EEC">
              <w:rPr>
                <w:rFonts w:eastAsia="MS Mincho"/>
                <w:b/>
                <w:bCs/>
                <w:color w:val="auto"/>
              </w:rPr>
              <w:t>%</w:t>
            </w:r>
          </w:p>
        </w:tc>
        <w:tc>
          <w:tcPr>
            <w:tcW w:w="1658" w:type="dxa"/>
          </w:tcPr>
          <w:p w14:paraId="0A1EF2BD" w14:textId="281E078A" w:rsidR="00945EEC" w:rsidRPr="00945EEC" w:rsidRDefault="009F7EA9"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58</w:t>
            </w:r>
            <w:r w:rsidR="00945EEC" w:rsidRPr="00945EEC">
              <w:rPr>
                <w:rFonts w:eastAsia="MS Mincho"/>
                <w:b/>
                <w:bCs/>
                <w:color w:val="auto"/>
              </w:rPr>
              <w:t>%</w:t>
            </w:r>
          </w:p>
        </w:tc>
        <w:tc>
          <w:tcPr>
            <w:tcW w:w="1658" w:type="dxa"/>
          </w:tcPr>
          <w:p w14:paraId="6052DFCD" w14:textId="5729589B" w:rsidR="00945EEC" w:rsidRPr="00945EEC" w:rsidRDefault="008F51D8" w:rsidP="00945EEC">
            <w:pPr>
              <w:widowControl w:val="0"/>
              <w:tabs>
                <w:tab w:val="left" w:pos="1528"/>
              </w:tabs>
              <w:autoSpaceDE w:val="0"/>
              <w:autoSpaceDN w:val="0"/>
              <w:adjustRightInd w:val="0"/>
              <w:jc w:val="center"/>
              <w:rPr>
                <w:rFonts w:eastAsia="MS Mincho"/>
                <w:b/>
                <w:bCs/>
                <w:color w:val="FF0000"/>
              </w:rPr>
            </w:pPr>
            <w:r>
              <w:rPr>
                <w:rFonts w:eastAsia="MS Mincho"/>
                <w:b/>
                <w:bCs/>
                <w:color w:val="auto"/>
              </w:rPr>
              <w:t>42</w:t>
            </w:r>
            <w:r w:rsidR="00945EEC" w:rsidRPr="00945EEC">
              <w:rPr>
                <w:rFonts w:eastAsia="MS Mincho"/>
                <w:b/>
                <w:bCs/>
                <w:color w:val="auto"/>
              </w:rPr>
              <w:t>%</w:t>
            </w:r>
          </w:p>
        </w:tc>
      </w:tr>
    </w:tbl>
    <w:p w14:paraId="2363C331"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4543F815" w14:textId="77777777" w:rsidR="00945EEC" w:rsidRPr="00945EEC" w:rsidRDefault="00945EEC" w:rsidP="00945EEC">
      <w:pPr>
        <w:spacing w:after="0" w:line="240" w:lineRule="auto"/>
        <w:rPr>
          <w:rFonts w:eastAsia="MS Mincho"/>
          <w:color w:val="auto"/>
          <w:u w:val="single"/>
          <w:lang w:val="en-US" w:eastAsia="en-US"/>
        </w:rPr>
      </w:pPr>
      <w:r w:rsidRPr="00945EEC">
        <w:rPr>
          <w:rFonts w:eastAsia="MS Mincho"/>
          <w:color w:val="auto"/>
          <w:u w:val="single"/>
          <w:lang w:val="en-US" w:eastAsia="en-US"/>
        </w:rPr>
        <w:br w:type="page"/>
      </w:r>
    </w:p>
    <w:p w14:paraId="5B9109D4"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u w:val="single"/>
          <w:lang w:val="en-US" w:eastAsia="en-US"/>
        </w:rPr>
      </w:pPr>
      <w:r w:rsidRPr="00945EEC">
        <w:rPr>
          <w:rFonts w:eastAsia="MS Mincho"/>
          <w:color w:val="auto"/>
          <w:u w:val="single"/>
          <w:lang w:val="en-US" w:eastAsia="en-US"/>
        </w:rPr>
        <w:lastRenderedPageBreak/>
        <w:t>Understanding the pay gap</w:t>
      </w:r>
    </w:p>
    <w:p w14:paraId="6632FFCD"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 xml:space="preserve">It is important to remember that gender pay reporting is different to equal pay. Equal pay deals with the pay differences between men and women who carry out the same jobs, similar jobs or work of equal value. It is unlawful to pay people unequally because they are a man or a woman. The gender </w:t>
      </w:r>
      <w:proofErr w:type="gramStart"/>
      <w:r w:rsidRPr="00945EEC">
        <w:rPr>
          <w:rFonts w:eastAsia="MS Mincho"/>
          <w:color w:val="auto"/>
          <w:lang w:val="en-US" w:eastAsia="en-US"/>
        </w:rPr>
        <w:t>pay</w:t>
      </w:r>
      <w:proofErr w:type="gramEnd"/>
      <w:r w:rsidRPr="00945EEC">
        <w:rPr>
          <w:rFonts w:eastAsia="MS Mincho"/>
          <w:color w:val="auto"/>
          <w:lang w:val="en-US" w:eastAsia="en-US"/>
        </w:rPr>
        <w:t xml:space="preserve"> gap shows the difference in the average pay between all men and women in a workforce. If a workforce has a particularly high gender pay gap, this can indicate there may be </w:t>
      </w:r>
      <w:proofErr w:type="gramStart"/>
      <w:r w:rsidRPr="00945EEC">
        <w:rPr>
          <w:rFonts w:eastAsia="MS Mincho"/>
          <w:color w:val="auto"/>
          <w:lang w:val="en-US" w:eastAsia="en-US"/>
        </w:rPr>
        <w:t>a number of</w:t>
      </w:r>
      <w:proofErr w:type="gramEnd"/>
      <w:r w:rsidRPr="00945EEC">
        <w:rPr>
          <w:rFonts w:eastAsia="MS Mincho"/>
          <w:color w:val="auto"/>
          <w:lang w:val="en-US" w:eastAsia="en-US"/>
        </w:rPr>
        <w:t xml:space="preserve"> issues to deal with and the individual calculations may help to identify what those issues are.</w:t>
      </w:r>
    </w:p>
    <w:p w14:paraId="4D8C49FE"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19FF6C0B"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DECLARATION</w:t>
      </w:r>
    </w:p>
    <w:p w14:paraId="76E0A282"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r w:rsidRPr="00945EEC">
        <w:rPr>
          <w:rFonts w:eastAsia="MS Mincho"/>
          <w:color w:val="auto"/>
          <w:lang w:val="en-US" w:eastAsia="en-US"/>
        </w:rPr>
        <w:t>I confirm that the data reported is accurate and meets the requirements of the Regulations and methodology outlined in the Equality Act 2010 (Gender Pay Gap Information) Regulations 2017.</w:t>
      </w:r>
    </w:p>
    <w:p w14:paraId="22C73E21"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50A736DA" w14:textId="77777777" w:rsidR="00945EEC" w:rsidRDefault="00945EE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39680758" w14:textId="77777777" w:rsidR="00DD334C" w:rsidRDefault="00DD334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6A5B048F" w14:textId="77777777" w:rsidR="00DD334C" w:rsidRPr="00945EEC" w:rsidRDefault="00DD334C" w:rsidP="00945EEC">
      <w:pPr>
        <w:widowControl w:val="0"/>
        <w:tabs>
          <w:tab w:val="left" w:pos="1528"/>
        </w:tabs>
        <w:autoSpaceDE w:val="0"/>
        <w:autoSpaceDN w:val="0"/>
        <w:adjustRightInd w:val="0"/>
        <w:spacing w:after="0" w:line="240" w:lineRule="auto"/>
        <w:jc w:val="both"/>
        <w:rPr>
          <w:rFonts w:eastAsia="MS Mincho"/>
          <w:color w:val="auto"/>
          <w:lang w:val="en-US" w:eastAsia="en-US"/>
        </w:rPr>
      </w:pPr>
    </w:p>
    <w:p w14:paraId="39F0323F"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b/>
          <w:bCs/>
          <w:color w:val="auto"/>
          <w:lang w:val="en-US" w:eastAsia="en-US"/>
        </w:rPr>
      </w:pPr>
      <w:r w:rsidRPr="00945EEC">
        <w:rPr>
          <w:rFonts w:eastAsia="MS Mincho"/>
          <w:b/>
          <w:bCs/>
          <w:color w:val="auto"/>
          <w:lang w:val="en-US" w:eastAsia="en-US"/>
        </w:rPr>
        <w:t>David Dixon</w:t>
      </w:r>
    </w:p>
    <w:p w14:paraId="4EC467B0" w14:textId="77777777" w:rsidR="00945EEC" w:rsidRPr="00945EEC" w:rsidRDefault="00945EEC" w:rsidP="00945EEC">
      <w:pPr>
        <w:widowControl w:val="0"/>
        <w:tabs>
          <w:tab w:val="left" w:pos="1528"/>
        </w:tabs>
        <w:autoSpaceDE w:val="0"/>
        <w:autoSpaceDN w:val="0"/>
        <w:adjustRightInd w:val="0"/>
        <w:spacing w:after="0" w:line="240" w:lineRule="auto"/>
        <w:jc w:val="both"/>
        <w:rPr>
          <w:rFonts w:eastAsia="MS Mincho"/>
          <w:b/>
          <w:bCs/>
          <w:color w:val="auto"/>
          <w:lang w:val="en-US" w:eastAsia="en-US"/>
        </w:rPr>
      </w:pPr>
      <w:r w:rsidRPr="00945EEC">
        <w:rPr>
          <w:rFonts w:eastAsia="MS Mincho"/>
          <w:b/>
          <w:bCs/>
          <w:color w:val="auto"/>
          <w:lang w:val="en-US" w:eastAsia="en-US"/>
        </w:rPr>
        <w:t>Finance Director</w:t>
      </w:r>
    </w:p>
    <w:p w14:paraId="16659B82" w14:textId="6BCFD8F5" w:rsidR="00287EEB" w:rsidRDefault="00287EEB" w:rsidP="00287EEB">
      <w:pPr>
        <w:pStyle w:val="NormalWeb"/>
        <w:shd w:val="clear" w:color="auto" w:fill="FFFFFF"/>
        <w:spacing w:before="0" w:beforeAutospacing="0" w:after="0" w:afterAutospacing="0"/>
        <w:ind w:left="57"/>
        <w:rPr>
          <w:color w:val="000000"/>
        </w:rPr>
      </w:pPr>
    </w:p>
    <w:sectPr w:rsidR="00287EEB" w:rsidSect="002553A5">
      <w:headerReference w:type="default" r:id="rId10"/>
      <w:footerReference w:type="default" r:id="rId11"/>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B537" w14:textId="77777777" w:rsidR="00A7332D" w:rsidRDefault="00A7332D" w:rsidP="00BC25C5">
      <w:pPr>
        <w:spacing w:after="0" w:line="240" w:lineRule="auto"/>
      </w:pPr>
      <w:r>
        <w:separator/>
      </w:r>
    </w:p>
  </w:endnote>
  <w:endnote w:type="continuationSeparator" w:id="0">
    <w:p w14:paraId="0DFA5827" w14:textId="77777777" w:rsidR="00A7332D" w:rsidRDefault="00A7332D" w:rsidP="00BC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9ABB" w14:textId="52056BEC" w:rsidR="00BC25C5" w:rsidRDefault="00BC25C5">
    <w:pPr>
      <w:pStyle w:val="Footer"/>
    </w:pPr>
    <w:r>
      <w:rPr>
        <w:noProof/>
      </w:rPr>
      <mc:AlternateContent>
        <mc:Choice Requires="wpg">
          <w:drawing>
            <wp:anchor distT="0" distB="0" distL="114300" distR="114300" simplePos="0" relativeHeight="251659264" behindDoc="0" locked="0" layoutInCell="1" allowOverlap="1" wp14:anchorId="350A2722" wp14:editId="4A2F0627">
              <wp:simplePos x="0" y="0"/>
              <wp:positionH relativeFrom="page">
                <wp:posOffset>-12700</wp:posOffset>
              </wp:positionH>
              <wp:positionV relativeFrom="bottomMargin">
                <wp:posOffset>1270</wp:posOffset>
              </wp:positionV>
              <wp:extent cx="4824305" cy="915498"/>
              <wp:effectExtent l="0" t="0" r="0" b="0"/>
              <wp:wrapNone/>
              <wp:docPr id="196" name="Group 196"/>
              <wp:cNvGraphicFramePr/>
              <a:graphic xmlns:a="http://schemas.openxmlformats.org/drawingml/2006/main">
                <a:graphicData uri="http://schemas.microsoft.com/office/word/2010/wordprocessingGroup">
                  <wpg:wgp>
                    <wpg:cNvGrpSpPr/>
                    <wpg:grpSpPr>
                      <a:xfrm>
                        <a:off x="0" y="0"/>
                        <a:ext cx="4824305" cy="915498"/>
                        <a:chOff x="215900" y="0"/>
                        <a:chExt cx="4824305" cy="915498"/>
                      </a:xfrm>
                    </wpg:grpSpPr>
                    <wps:wsp>
                      <wps:cNvPr id="6" name="Shape 6"/>
                      <wps:cNvSpPr/>
                      <wps:spPr>
                        <a:xfrm>
                          <a:off x="215900" y="0"/>
                          <a:ext cx="4824305" cy="915498"/>
                        </a:xfrm>
                        <a:custGeom>
                          <a:avLst/>
                          <a:gdLst/>
                          <a:ahLst/>
                          <a:cxnLst/>
                          <a:rect l="0" t="0" r="0" b="0"/>
                          <a:pathLst>
                            <a:path w="4824305" h="915498">
                              <a:moveTo>
                                <a:pt x="0" y="0"/>
                              </a:moveTo>
                              <a:lnTo>
                                <a:pt x="112426" y="10609"/>
                              </a:lnTo>
                              <a:cubicBezTo>
                                <a:pt x="2515672" y="237349"/>
                                <a:pt x="3896766" y="366117"/>
                                <a:pt x="4255690" y="396915"/>
                              </a:cubicBezTo>
                              <a:cubicBezTo>
                                <a:pt x="4729474" y="437567"/>
                                <a:pt x="4824305" y="683111"/>
                                <a:pt x="4815781" y="895034"/>
                              </a:cubicBezTo>
                              <a:lnTo>
                                <a:pt x="4814094" y="915498"/>
                              </a:lnTo>
                              <a:lnTo>
                                <a:pt x="0" y="915498"/>
                              </a:lnTo>
                              <a:lnTo>
                                <a:pt x="0" y="0"/>
                              </a:lnTo>
                              <a:close/>
                            </a:path>
                          </a:pathLst>
                        </a:custGeom>
                        <a:ln w="0" cap="flat">
                          <a:miter lim="127000"/>
                        </a:ln>
                      </wps:spPr>
                      <wps:style>
                        <a:lnRef idx="0">
                          <a:srgbClr val="000000">
                            <a:alpha val="0"/>
                          </a:srgbClr>
                        </a:lnRef>
                        <a:fillRef idx="1">
                          <a:srgbClr val="2C3457"/>
                        </a:fillRef>
                        <a:effectRef idx="0">
                          <a:scrgbClr r="0" g="0" b="0"/>
                        </a:effectRef>
                        <a:fontRef idx="none"/>
                      </wps:style>
                      <wps:bodyPr/>
                    </wps:wsp>
                    <wps:wsp>
                      <wps:cNvPr id="35" name="Rectangle 35"/>
                      <wps:cNvSpPr/>
                      <wps:spPr>
                        <a:xfrm>
                          <a:off x="457200" y="337029"/>
                          <a:ext cx="1950289" cy="164721"/>
                        </a:xfrm>
                        <a:prstGeom prst="rect">
                          <a:avLst/>
                        </a:prstGeom>
                        <a:ln>
                          <a:noFill/>
                        </a:ln>
                      </wps:spPr>
                      <wps:txbx>
                        <w:txbxContent>
                          <w:p w14:paraId="6B4A606C" w14:textId="77777777" w:rsidR="00BC25C5" w:rsidRDefault="00BC25C5" w:rsidP="00BC25C5">
                            <w:r>
                              <w:rPr>
                                <w:rFonts w:ascii="Montserrat" w:eastAsia="Montserrat" w:hAnsi="Montserrat" w:cs="Montserrat"/>
                                <w:b/>
                                <w:color w:val="FFFEFD"/>
                                <w:sz w:val="16"/>
                              </w:rPr>
                              <w:t>www.bluecrestwellness.com</w:t>
                            </w:r>
                          </w:p>
                        </w:txbxContent>
                      </wps:txbx>
                      <wps:bodyPr horzOverflow="overflow" vert="horz" lIns="0" tIns="0" rIns="0" bIns="0" rtlCol="0">
                        <a:noAutofit/>
                      </wps:bodyPr>
                    </wps:wsp>
                    <wps:wsp>
                      <wps:cNvPr id="36" name="Rectangle 36"/>
                      <wps:cNvSpPr/>
                      <wps:spPr>
                        <a:xfrm>
                          <a:off x="457200" y="542230"/>
                          <a:ext cx="4214858" cy="164720"/>
                        </a:xfrm>
                        <a:prstGeom prst="rect">
                          <a:avLst/>
                        </a:prstGeom>
                        <a:ln>
                          <a:noFill/>
                        </a:ln>
                      </wps:spPr>
                      <wps:txbx>
                        <w:txbxContent>
                          <w:p w14:paraId="0E284256" w14:textId="77777777" w:rsidR="00BC25C5" w:rsidRDefault="00BC25C5" w:rsidP="00BC25C5">
                            <w:proofErr w:type="spellStart"/>
                            <w:r>
                              <w:rPr>
                                <w:rFonts w:ascii="Montserrat" w:eastAsia="Montserrat" w:hAnsi="Montserrat" w:cs="Montserrat"/>
                                <w:b/>
                                <w:color w:val="FFFEFD"/>
                                <w:sz w:val="16"/>
                              </w:rPr>
                              <w:t>Ridgeworth</w:t>
                            </w:r>
                            <w:proofErr w:type="spellEnd"/>
                            <w:r>
                              <w:rPr>
                                <w:rFonts w:ascii="Montserrat" w:eastAsia="Montserrat" w:hAnsi="Montserrat" w:cs="Montserrat"/>
                                <w:b/>
                                <w:color w:val="FFFEFD"/>
                                <w:sz w:val="16"/>
                              </w:rPr>
                              <w:t xml:space="preserve"> House, 5/9 Liverpool Gardens, Worthing, BN11 1RY</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350A2722" id="Group 196" o:spid="_x0000_s1026" style="position:absolute;margin-left:-1pt;margin-top:.1pt;width:379.85pt;height:72.1pt;z-index:251659264;mso-position-horizontal-relative:page;mso-position-vertical-relative:bottom-margin-area;mso-width-relative:margin" coordorigin="2159" coordsize="48243,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">
              <v:shape id="Shape 6" o:spid="_x0000_s1027" style="position:absolute;left:2159;width:48243;height:9154;visibility:visible;mso-wrap-style:square;v-text-anchor:top" coordsize="4824305,91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" path="m,l112426,10609c2515672,237349,3896766,366117,4255690,396915v473784,40652,568615,286196,560091,498119l4814094,915498,,915498,,xe" fillcolor="#2c3457" stroked="f" strokeweight="0">
                <v:stroke miterlimit="83231f" joinstyle="miter"/>
                <v:path arrowok="t" textboxrect="0,0,4824305,915498"/>
              </v:shape>
              <v:rect id="Rectangle 35" o:spid="_x0000_s1028" style="position:absolute;left:4572;top:3370;width:1950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B4A606C" w14:textId="77777777" w:rsidR="00BC25C5" w:rsidRDefault="00BC25C5" w:rsidP="00BC25C5">
                      <w:r>
                        <w:rPr>
                          <w:rFonts w:ascii="Montserrat" w:eastAsia="Montserrat" w:hAnsi="Montserrat" w:cs="Montserrat"/>
                          <w:b/>
                          <w:color w:val="FFFEFD"/>
                          <w:sz w:val="16"/>
                        </w:rPr>
                        <w:t>www.bluecrestwellness.com</w:t>
                      </w:r>
                    </w:p>
                  </w:txbxContent>
                </v:textbox>
              </v:rect>
              <v:rect id="Rectangle 36" o:spid="_x0000_s1029" style="position:absolute;left:4572;top:5422;width:42148;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E284256" w14:textId="77777777" w:rsidR="00BC25C5" w:rsidRDefault="00BC25C5" w:rsidP="00BC25C5">
                      <w:proofErr w:type="spellStart"/>
                      <w:r>
                        <w:rPr>
                          <w:rFonts w:ascii="Montserrat" w:eastAsia="Montserrat" w:hAnsi="Montserrat" w:cs="Montserrat"/>
                          <w:b/>
                          <w:color w:val="FFFEFD"/>
                          <w:sz w:val="16"/>
                        </w:rPr>
                        <w:t>Ridgeworth</w:t>
                      </w:r>
                      <w:proofErr w:type="spellEnd"/>
                      <w:r>
                        <w:rPr>
                          <w:rFonts w:ascii="Montserrat" w:eastAsia="Montserrat" w:hAnsi="Montserrat" w:cs="Montserrat"/>
                          <w:b/>
                          <w:color w:val="FFFEFD"/>
                          <w:sz w:val="16"/>
                        </w:rPr>
                        <w:t xml:space="preserve"> House, 5/9 Liverpool Gardens, Worthing, BN11 1RY</w:t>
                      </w:r>
                    </w:p>
                  </w:txbxContent>
                </v:textbox>
              </v:rec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BE47" w14:textId="77777777" w:rsidR="00A7332D" w:rsidRDefault="00A7332D" w:rsidP="00BC25C5">
      <w:pPr>
        <w:spacing w:after="0" w:line="240" w:lineRule="auto"/>
      </w:pPr>
      <w:r>
        <w:separator/>
      </w:r>
    </w:p>
  </w:footnote>
  <w:footnote w:type="continuationSeparator" w:id="0">
    <w:p w14:paraId="6E517241" w14:textId="77777777" w:rsidR="00A7332D" w:rsidRDefault="00A7332D" w:rsidP="00BC2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5F38" w14:textId="44F3218B" w:rsidR="00082131" w:rsidRPr="00082131" w:rsidRDefault="00082131" w:rsidP="00933BDB">
    <w:pPr>
      <w:pStyle w:val="Header"/>
      <w:jc w:val="right"/>
    </w:pPr>
    <w:r w:rsidRPr="00082131">
      <w:drawing>
        <wp:inline distT="0" distB="0" distL="0" distR="0" wp14:anchorId="50BE25A7" wp14:editId="46925776">
          <wp:extent cx="2188565" cy="296545"/>
          <wp:effectExtent l="0" t="0" r="2540" b="8255"/>
          <wp:docPr id="1470800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656" cy="297641"/>
                  </a:xfrm>
                  <a:prstGeom prst="rect">
                    <a:avLst/>
                  </a:prstGeom>
                  <a:noFill/>
                  <a:ln>
                    <a:noFill/>
                  </a:ln>
                </pic:spPr>
              </pic:pic>
            </a:graphicData>
          </a:graphic>
        </wp:inline>
      </w:drawing>
    </w:r>
  </w:p>
  <w:p w14:paraId="46D281DD" w14:textId="77322A86" w:rsidR="00BC25C5" w:rsidRDefault="00BC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E155D"/>
    <w:multiLevelType w:val="hybridMultilevel"/>
    <w:tmpl w:val="2FC86112"/>
    <w:lvl w:ilvl="0" w:tplc="3634F8B8">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816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66"/>
    <w:rsid w:val="000350EF"/>
    <w:rsid w:val="000559A7"/>
    <w:rsid w:val="00067608"/>
    <w:rsid w:val="00082131"/>
    <w:rsid w:val="001A2CE1"/>
    <w:rsid w:val="001A4009"/>
    <w:rsid w:val="001C36E2"/>
    <w:rsid w:val="001F499C"/>
    <w:rsid w:val="002553A5"/>
    <w:rsid w:val="00287EEB"/>
    <w:rsid w:val="002D2DFF"/>
    <w:rsid w:val="00357DCB"/>
    <w:rsid w:val="003A3E39"/>
    <w:rsid w:val="00425DC1"/>
    <w:rsid w:val="0049232D"/>
    <w:rsid w:val="004C05C2"/>
    <w:rsid w:val="004E6DE7"/>
    <w:rsid w:val="005568D1"/>
    <w:rsid w:val="00564AFC"/>
    <w:rsid w:val="00576BFC"/>
    <w:rsid w:val="00577821"/>
    <w:rsid w:val="00597042"/>
    <w:rsid w:val="005C65E5"/>
    <w:rsid w:val="005D54CB"/>
    <w:rsid w:val="0061052E"/>
    <w:rsid w:val="00634B36"/>
    <w:rsid w:val="00774870"/>
    <w:rsid w:val="007E7A5B"/>
    <w:rsid w:val="008157E0"/>
    <w:rsid w:val="00872D9F"/>
    <w:rsid w:val="008860D2"/>
    <w:rsid w:val="00890BDC"/>
    <w:rsid w:val="008952A5"/>
    <w:rsid w:val="008B259F"/>
    <w:rsid w:val="008F0B22"/>
    <w:rsid w:val="008F51D8"/>
    <w:rsid w:val="0090251C"/>
    <w:rsid w:val="00933BDB"/>
    <w:rsid w:val="00945EEC"/>
    <w:rsid w:val="00966185"/>
    <w:rsid w:val="00991C92"/>
    <w:rsid w:val="009B176F"/>
    <w:rsid w:val="009D38B4"/>
    <w:rsid w:val="009F7EA9"/>
    <w:rsid w:val="00A15F79"/>
    <w:rsid w:val="00A7332D"/>
    <w:rsid w:val="00A94A66"/>
    <w:rsid w:val="00AC3EA9"/>
    <w:rsid w:val="00B02D40"/>
    <w:rsid w:val="00B05D05"/>
    <w:rsid w:val="00B776C4"/>
    <w:rsid w:val="00B82911"/>
    <w:rsid w:val="00BC25C5"/>
    <w:rsid w:val="00BD12A7"/>
    <w:rsid w:val="00BD5F57"/>
    <w:rsid w:val="00C856D9"/>
    <w:rsid w:val="00CB2E5B"/>
    <w:rsid w:val="00D43045"/>
    <w:rsid w:val="00D817C0"/>
    <w:rsid w:val="00D95EED"/>
    <w:rsid w:val="00DC45CE"/>
    <w:rsid w:val="00DD334C"/>
    <w:rsid w:val="00E85B19"/>
    <w:rsid w:val="00E92B1F"/>
    <w:rsid w:val="00EA307C"/>
    <w:rsid w:val="00FA5B62"/>
    <w:rsid w:val="00FA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07BC"/>
  <w15:docId w15:val="{0EC9BE5A-982A-4EAF-8292-CD1AC4C0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C5"/>
    <w:rPr>
      <w:rFonts w:ascii="Calibri" w:eastAsia="Calibri" w:hAnsi="Calibri" w:cs="Calibri"/>
      <w:color w:val="000000"/>
    </w:rPr>
  </w:style>
  <w:style w:type="paragraph" w:styleId="Footer">
    <w:name w:val="footer"/>
    <w:basedOn w:val="Normal"/>
    <w:link w:val="FooterChar"/>
    <w:uiPriority w:val="99"/>
    <w:unhideWhenUsed/>
    <w:rsid w:val="00BC2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C5"/>
    <w:rPr>
      <w:rFonts w:ascii="Calibri" w:eastAsia="Calibri" w:hAnsi="Calibri" w:cs="Calibri"/>
      <w:color w:val="000000"/>
    </w:rPr>
  </w:style>
  <w:style w:type="character" w:styleId="Hyperlink">
    <w:name w:val="Hyperlink"/>
    <w:basedOn w:val="DefaultParagraphFont"/>
    <w:uiPriority w:val="99"/>
    <w:semiHidden/>
    <w:unhideWhenUsed/>
    <w:rsid w:val="00872D9F"/>
    <w:rPr>
      <w:color w:val="0563C1"/>
      <w:u w:val="single"/>
    </w:rPr>
  </w:style>
  <w:style w:type="paragraph" w:styleId="NormalWeb">
    <w:name w:val="Normal (Web)"/>
    <w:basedOn w:val="Normal"/>
    <w:uiPriority w:val="99"/>
    <w:semiHidden/>
    <w:unhideWhenUsed/>
    <w:rsid w:val="00872D9F"/>
    <w:pPr>
      <w:spacing w:before="100" w:beforeAutospacing="1" w:after="100" w:afterAutospacing="1" w:line="240" w:lineRule="auto"/>
    </w:pPr>
    <w:rPr>
      <w:rFonts w:eastAsiaTheme="minorHAnsi"/>
      <w:color w:val="auto"/>
    </w:rPr>
  </w:style>
  <w:style w:type="paragraph" w:customStyle="1" w:styleId="Default">
    <w:name w:val="Default"/>
    <w:rsid w:val="00B05D05"/>
    <w:pPr>
      <w:autoSpaceDE w:val="0"/>
      <w:autoSpaceDN w:val="0"/>
      <w:adjustRightInd w:val="0"/>
      <w:spacing w:after="0" w:line="240" w:lineRule="auto"/>
    </w:pPr>
    <w:rPr>
      <w:rFonts w:ascii="Calibri" w:hAnsi="Calibri" w:cs="Calibri"/>
      <w:color w:val="000000"/>
      <w:sz w:val="24"/>
      <w:szCs w:val="24"/>
      <w:lang w:eastAsia="en-US"/>
    </w:rPr>
  </w:style>
  <w:style w:type="table" w:styleId="TableGrid">
    <w:name w:val="Table Grid"/>
    <w:basedOn w:val="TableNormal"/>
    <w:uiPriority w:val="59"/>
    <w:rsid w:val="00945EEC"/>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D4D37E47990E4BAAC621F1D8226C48" ma:contentTypeVersion="15" ma:contentTypeDescription="Create a new document." ma:contentTypeScope="" ma:versionID="7173be99d0215a4aeba2a90bf541d001">
  <xsd:schema xmlns:xsd="http://www.w3.org/2001/XMLSchema" xmlns:xs="http://www.w3.org/2001/XMLSchema" xmlns:p="http://schemas.microsoft.com/office/2006/metadata/properties" xmlns:ns2="5dd55d1a-8e97-43b8-bf54-b9333c17ac4d" xmlns:ns3="e51b904c-4579-476c-9837-73b7e71877e6" targetNamespace="http://schemas.microsoft.com/office/2006/metadata/properties" ma:root="true" ma:fieldsID="df9af45bee11678b5d2c0c8bdf904c22" ns2:_="" ns3:_="">
    <xsd:import namespace="5dd55d1a-8e97-43b8-bf54-b9333c17ac4d"/>
    <xsd:import namespace="e51b904c-4579-476c-9837-73b7e71877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5d1a-8e97-43b8-bf54-b9333c17a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112de2-9a07-4a4f-b2c7-e69559289e2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b904c-4579-476c-9837-73b7e71877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16f532e-ae2c-472d-b8b7-723ee709a261}" ma:internalName="TaxCatchAll" ma:showField="CatchAllData" ma:web="e51b904c-4579-476c-9837-73b7e7187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1b904c-4579-476c-9837-73b7e71877e6" xsi:nil="true"/>
    <lcf76f155ced4ddcb4097134ff3c332f xmlns="5dd55d1a-8e97-43b8-bf54-b9333c17a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33CD9-3775-4364-AFBF-6186604BDA89}">
  <ds:schemaRefs>
    <ds:schemaRef ds:uri="http://schemas.microsoft.com/sharepoint/v3/contenttype/forms"/>
  </ds:schemaRefs>
</ds:datastoreItem>
</file>

<file path=customXml/itemProps2.xml><?xml version="1.0" encoding="utf-8"?>
<ds:datastoreItem xmlns:ds="http://schemas.openxmlformats.org/officeDocument/2006/customXml" ds:itemID="{DF62AD92-2BE4-48E1-A163-B4B19E96B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55d1a-8e97-43b8-bf54-b9333c17ac4d"/>
    <ds:schemaRef ds:uri="e51b904c-4579-476c-9837-73b7e7187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E0893-B06F-4EEA-B828-2B253E91AA05}">
  <ds:schemaRefs>
    <ds:schemaRef ds:uri="http://schemas.microsoft.com/office/2006/metadata/properties"/>
    <ds:schemaRef ds:uri="http://schemas.microsoft.com/office/infopath/2007/PartnerControls"/>
    <ds:schemaRef ds:uri="e51b904c-4579-476c-9837-73b7e71877e6"/>
    <ds:schemaRef ds:uri="5dd55d1a-8e97-43b8-bf54-b9333c17ac4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496</Words>
  <Characters>2382</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Bone</dc:creator>
  <cp:keywords/>
  <cp:lastModifiedBy>Paulina Morgan</cp:lastModifiedBy>
  <cp:revision>12</cp:revision>
  <cp:lastPrinted>2026-03-24T14:46:00Z</cp:lastPrinted>
  <dcterms:created xsi:type="dcterms:W3CDTF">2026-03-18T15:07:00Z</dcterms:created>
  <dcterms:modified xsi:type="dcterms:W3CDTF">2026-03-30T11:43:00Z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143e6-570d-4fe8-9cbc-f31a061f155c_Enabled">
    <vt:lpwstr>true</vt:lpwstr>
  </property>
  <property fmtid="{D5CDD505-2E9C-101B-9397-08002B2CF9AE}" pid="3" name="MSIP_Label_044143e6-570d-4fe8-9cbc-f31a061f155c_SetDate">
    <vt:lpwstr>2024-03-06T15:25:50Z</vt:lpwstr>
  </property>
  <property fmtid="{D5CDD505-2E9C-101B-9397-08002B2CF9AE}" pid="4" name="MSIP_Label_044143e6-570d-4fe8-9cbc-f31a061f155c_Method">
    <vt:lpwstr>Standard</vt:lpwstr>
  </property>
  <property fmtid="{D5CDD505-2E9C-101B-9397-08002B2CF9AE}" pid="5" name="MSIP_Label_044143e6-570d-4fe8-9cbc-f31a061f155c_Name">
    <vt:lpwstr>Internal</vt:lpwstr>
  </property>
  <property fmtid="{D5CDD505-2E9C-101B-9397-08002B2CF9AE}" pid="6" name="MSIP_Label_044143e6-570d-4fe8-9cbc-f31a061f155c_SiteId">
    <vt:lpwstr>acfab7ce-5526-4f13-98ce-27f07ef6eddf</vt:lpwstr>
  </property>
  <property fmtid="{D5CDD505-2E9C-101B-9397-08002B2CF9AE}" pid="7" name="MSIP_Label_044143e6-570d-4fe8-9cbc-f31a061f155c_ActionId">
    <vt:lpwstr>5abdc3e7-6edc-419b-a1f2-4c6dfc47e726</vt:lpwstr>
  </property>
  <property fmtid="{D5CDD505-2E9C-101B-9397-08002B2CF9AE}" pid="8" name="MSIP_Label_044143e6-570d-4fe8-9cbc-f31a061f155c_ContentBits">
    <vt:lpwstr>0</vt:lpwstr>
  </property>
  <property fmtid="{D5CDD505-2E9C-101B-9397-08002B2CF9AE}" pid="9" name="ContentTypeId">
    <vt:lpwstr>0x01010088D4D37E47990E4BAAC621F1D8226C48</vt:lpwstr>
  </property>
  <property fmtid="{D5CDD505-2E9C-101B-9397-08002B2CF9AE}" pid="10" name="MediaServiceImageTags">
    <vt:lpwstr/>
  </property>
</Properties>
</file>